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B96458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C4G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B96458">
        <w:rPr>
          <w:rFonts w:ascii="Arial" w:hAnsi="Arial" w:cs="Arial"/>
          <w:b/>
          <w:sz w:val="20"/>
          <w:szCs w:val="20"/>
        </w:rPr>
        <w:t>Notice of results of private placement of bond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96458">
        <w:rPr>
          <w:rFonts w:ascii="Arial" w:hAnsi="Arial" w:cs="Arial"/>
          <w:sz w:val="20"/>
          <w:szCs w:val="20"/>
        </w:rPr>
        <w:t>18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96458" w:rsidRPr="00B96458">
        <w:rPr>
          <w:rFonts w:ascii="Arial" w:hAnsi="Arial" w:cs="Arial"/>
          <w:sz w:val="20"/>
          <w:szCs w:val="20"/>
        </w:rPr>
        <w:t>CIENCO4 Group Joint Stock Company</w:t>
      </w:r>
      <w:r w:rsidR="00B96458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B96458" w:rsidRPr="00B96458">
        <w:rPr>
          <w:rFonts w:ascii="Arial" w:hAnsi="Arial" w:cs="Arial"/>
          <w:sz w:val="20"/>
          <w:szCs w:val="20"/>
        </w:rPr>
        <w:t>results of private placement of bond</w:t>
      </w:r>
      <w:r w:rsidR="00B96458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96458" w:rsidRDefault="00B96458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Information about result of private placement of bond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458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Information about the Company</w:t>
      </w:r>
      <w:r w:rsidRPr="00B96458">
        <w:rPr>
          <w:rFonts w:ascii="Arial" w:hAnsi="Arial" w:cs="Arial"/>
          <w:sz w:val="20"/>
          <w:szCs w:val="20"/>
        </w:rPr>
        <w:t xml:space="preserve">: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Company name: </w:t>
      </w:r>
      <w:r w:rsidRPr="00B96458">
        <w:rPr>
          <w:rFonts w:ascii="Arial" w:hAnsi="Arial" w:cs="Arial"/>
          <w:sz w:val="20"/>
          <w:szCs w:val="20"/>
        </w:rPr>
        <w:t>CIENCO4 Group Joint Stock Company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6458">
        <w:rPr>
          <w:rFonts w:ascii="Arial" w:hAnsi="Arial" w:cs="Arial"/>
          <w:sz w:val="20"/>
          <w:szCs w:val="20"/>
        </w:rPr>
        <w:t xml:space="preserve">Head office address: Floor 10-11, ICON4 Building, </w:t>
      </w:r>
      <w:r>
        <w:rPr>
          <w:rFonts w:ascii="Arial" w:hAnsi="Arial" w:cs="Arial"/>
          <w:sz w:val="20"/>
          <w:szCs w:val="20"/>
        </w:rPr>
        <w:t xml:space="preserve">No. 243A De La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Street, </w:t>
      </w:r>
      <w:r w:rsidRPr="00B96458">
        <w:rPr>
          <w:rFonts w:ascii="Arial" w:hAnsi="Arial" w:cs="Arial"/>
          <w:sz w:val="20"/>
          <w:szCs w:val="20"/>
        </w:rPr>
        <w:t xml:space="preserve">Lang </w:t>
      </w:r>
      <w:proofErr w:type="spellStart"/>
      <w:r w:rsidRPr="00B96458">
        <w:rPr>
          <w:rFonts w:ascii="Arial" w:hAnsi="Arial" w:cs="Arial"/>
          <w:sz w:val="20"/>
          <w:szCs w:val="20"/>
        </w:rPr>
        <w:t>Thuong</w:t>
      </w:r>
      <w:proofErr w:type="spellEnd"/>
      <w:r w:rsidRPr="00B96458">
        <w:rPr>
          <w:rFonts w:ascii="Arial" w:hAnsi="Arial" w:cs="Arial"/>
          <w:sz w:val="20"/>
          <w:szCs w:val="20"/>
        </w:rPr>
        <w:t xml:space="preserve"> Ward, Dong Da District, Hanoi City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Company</w:t>
      </w:r>
      <w:r w:rsidRPr="00B96458">
        <w:rPr>
          <w:rFonts w:ascii="Arial" w:hAnsi="Arial" w:cs="Arial"/>
          <w:sz w:val="20"/>
          <w:szCs w:val="20"/>
        </w:rPr>
        <w:t xml:space="preserve"> type: </w:t>
      </w:r>
      <w:r>
        <w:rPr>
          <w:rFonts w:ascii="Arial" w:hAnsi="Arial" w:cs="Arial"/>
          <w:sz w:val="20"/>
          <w:szCs w:val="20"/>
        </w:rPr>
        <w:t xml:space="preserve">Joint Stock Company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458">
        <w:rPr>
          <w:rFonts w:ascii="Arial" w:hAnsi="Arial" w:cs="Arial"/>
          <w:sz w:val="20"/>
          <w:szCs w:val="20"/>
        </w:rPr>
        <w:t xml:space="preserve">2. Conditions and terms of </w:t>
      </w:r>
      <w:r>
        <w:rPr>
          <w:rFonts w:ascii="Arial" w:hAnsi="Arial" w:cs="Arial"/>
          <w:sz w:val="20"/>
          <w:szCs w:val="20"/>
        </w:rPr>
        <w:t>the bond</w:t>
      </w:r>
      <w:r w:rsidRPr="00B96458">
        <w:rPr>
          <w:rFonts w:ascii="Arial" w:hAnsi="Arial" w:cs="Arial"/>
          <w:sz w:val="20"/>
          <w:szCs w:val="20"/>
        </w:rPr>
        <w:t xml:space="preserve">: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6458">
        <w:rPr>
          <w:rFonts w:ascii="Arial" w:hAnsi="Arial" w:cs="Arial"/>
          <w:sz w:val="20"/>
          <w:szCs w:val="20"/>
        </w:rPr>
        <w:t xml:space="preserve">Total value of </w:t>
      </w:r>
      <w:r>
        <w:rPr>
          <w:rFonts w:ascii="Arial" w:hAnsi="Arial" w:cs="Arial"/>
          <w:sz w:val="20"/>
          <w:szCs w:val="20"/>
        </w:rPr>
        <w:t>the bond to be issued</w:t>
      </w:r>
      <w:r w:rsidRPr="00B9645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VND </w:t>
      </w:r>
      <w:r w:rsidRPr="00B96458">
        <w:rPr>
          <w:rFonts w:ascii="Arial" w:hAnsi="Arial" w:cs="Arial"/>
          <w:sz w:val="20"/>
          <w:szCs w:val="20"/>
        </w:rPr>
        <w:t xml:space="preserve">120,000,000,000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Term: 02 </w:t>
      </w:r>
      <w:r w:rsidRPr="00B96458">
        <w:rPr>
          <w:rFonts w:ascii="Arial" w:hAnsi="Arial" w:cs="Arial"/>
          <w:sz w:val="20"/>
          <w:szCs w:val="20"/>
        </w:rPr>
        <w:t>years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B96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</w:t>
      </w:r>
      <w:r w:rsidRPr="00B96458">
        <w:rPr>
          <w:rFonts w:ascii="Arial" w:hAnsi="Arial" w:cs="Arial"/>
          <w:sz w:val="20"/>
          <w:szCs w:val="20"/>
        </w:rPr>
        <w:t xml:space="preserve"> value: </w:t>
      </w:r>
      <w:r>
        <w:rPr>
          <w:rFonts w:ascii="Arial" w:hAnsi="Arial" w:cs="Arial"/>
          <w:sz w:val="20"/>
          <w:szCs w:val="20"/>
        </w:rPr>
        <w:t>VND 100,000/ b</w:t>
      </w:r>
      <w:r w:rsidRPr="00B96458">
        <w:rPr>
          <w:rFonts w:ascii="Arial" w:hAnsi="Arial" w:cs="Arial"/>
          <w:sz w:val="20"/>
          <w:szCs w:val="20"/>
        </w:rPr>
        <w:t xml:space="preserve">ond </w:t>
      </w:r>
    </w:p>
    <w:p w:rsidR="00B96458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6458">
        <w:rPr>
          <w:rFonts w:ascii="Arial" w:hAnsi="Arial" w:cs="Arial"/>
          <w:sz w:val="20"/>
          <w:szCs w:val="20"/>
        </w:rPr>
        <w:t xml:space="preserve">Type of bond: </w:t>
      </w:r>
      <w:r>
        <w:rPr>
          <w:rFonts w:ascii="Arial" w:hAnsi="Arial" w:cs="Arial"/>
          <w:sz w:val="20"/>
          <w:szCs w:val="20"/>
        </w:rPr>
        <w:t>in</w:t>
      </w:r>
      <w:r w:rsidRPr="00B96458">
        <w:rPr>
          <w:rFonts w:ascii="Arial" w:hAnsi="Arial" w:cs="Arial"/>
          <w:sz w:val="20"/>
          <w:szCs w:val="20"/>
        </w:rPr>
        <w:t>convertible</w:t>
      </w:r>
      <w:r>
        <w:rPr>
          <w:rFonts w:ascii="Arial" w:hAnsi="Arial" w:cs="Arial"/>
          <w:sz w:val="20"/>
          <w:szCs w:val="20"/>
        </w:rPr>
        <w:t xml:space="preserve"> bond without warrants</w:t>
      </w:r>
      <w:r w:rsidRPr="00B9645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with collateral</w:t>
      </w:r>
      <w:r w:rsidRPr="00B96458">
        <w:rPr>
          <w:rFonts w:ascii="Arial" w:hAnsi="Arial" w:cs="Arial"/>
          <w:sz w:val="20"/>
          <w:szCs w:val="20"/>
        </w:rPr>
        <w:t xml:space="preserve">  </w:t>
      </w:r>
    </w:p>
    <w:p w:rsidR="00FF3DD3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6458">
        <w:rPr>
          <w:rFonts w:ascii="Arial" w:hAnsi="Arial" w:cs="Arial"/>
          <w:sz w:val="20"/>
          <w:szCs w:val="20"/>
        </w:rPr>
        <w:t>Nominal interest rate</w:t>
      </w:r>
      <w:r>
        <w:rPr>
          <w:rFonts w:ascii="Arial" w:hAnsi="Arial" w:cs="Arial"/>
          <w:sz w:val="20"/>
          <w:szCs w:val="20"/>
        </w:rPr>
        <w:t xml:space="preserve"> and i</w:t>
      </w:r>
      <w:r w:rsidRPr="00B96458">
        <w:rPr>
          <w:rFonts w:ascii="Arial" w:hAnsi="Arial" w:cs="Arial"/>
          <w:sz w:val="20"/>
          <w:szCs w:val="20"/>
        </w:rPr>
        <w:t>nterest payment term: f</w:t>
      </w:r>
      <w:r>
        <w:rPr>
          <w:rFonts w:ascii="Arial" w:hAnsi="Arial" w:cs="Arial"/>
          <w:sz w:val="20"/>
          <w:szCs w:val="20"/>
        </w:rPr>
        <w:t xml:space="preserve">ixed interest rate equal to 11%/ year. </w:t>
      </w:r>
      <w:r w:rsidRPr="00B96458">
        <w:rPr>
          <w:rFonts w:ascii="Arial" w:hAnsi="Arial" w:cs="Arial"/>
          <w:sz w:val="20"/>
          <w:szCs w:val="20"/>
        </w:rPr>
        <w:t xml:space="preserve">The interest payment term is </w:t>
      </w:r>
      <w:r w:rsidR="00FF3DD3">
        <w:rPr>
          <w:rFonts w:ascii="Arial" w:hAnsi="Arial" w:cs="Arial"/>
          <w:sz w:val="20"/>
          <w:szCs w:val="20"/>
        </w:rPr>
        <w:t xml:space="preserve">every </w:t>
      </w:r>
      <w:r w:rsidRPr="00B96458">
        <w:rPr>
          <w:rFonts w:ascii="Arial" w:hAnsi="Arial" w:cs="Arial"/>
          <w:sz w:val="20"/>
          <w:szCs w:val="20"/>
        </w:rPr>
        <w:t xml:space="preserve">06 </w:t>
      </w:r>
      <w:r w:rsidR="00FF3DD3">
        <w:rPr>
          <w:rFonts w:ascii="Arial" w:hAnsi="Arial" w:cs="Arial"/>
          <w:sz w:val="20"/>
          <w:szCs w:val="20"/>
        </w:rPr>
        <w:t>months starting from the issue date to the maturity date</w:t>
      </w:r>
    </w:p>
    <w:p w:rsidR="00FF3DD3" w:rsidRDefault="00FF3DD3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Actual interest rate: 11%</w:t>
      </w:r>
      <w:r w:rsidR="00B96458" w:rsidRPr="00B96458">
        <w:rPr>
          <w:rFonts w:ascii="Arial" w:hAnsi="Arial" w:cs="Arial"/>
          <w:sz w:val="20"/>
          <w:szCs w:val="20"/>
        </w:rPr>
        <w:t xml:space="preserve">/ year </w:t>
      </w:r>
    </w:p>
    <w:p w:rsidR="00FF3DD3" w:rsidRDefault="00B96458" w:rsidP="00B9645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458">
        <w:rPr>
          <w:rFonts w:ascii="Arial" w:hAnsi="Arial" w:cs="Arial"/>
          <w:sz w:val="20"/>
          <w:szCs w:val="20"/>
        </w:rPr>
        <w:t xml:space="preserve">3. Total number of bonds actually issued: 1,200,000 </w:t>
      </w:r>
      <w:r w:rsidR="00FF3DD3">
        <w:rPr>
          <w:rFonts w:ascii="Arial" w:hAnsi="Arial" w:cs="Arial"/>
          <w:sz w:val="20"/>
          <w:szCs w:val="20"/>
        </w:rPr>
        <w:t>b</w:t>
      </w:r>
      <w:r w:rsidRPr="00B96458">
        <w:rPr>
          <w:rFonts w:ascii="Arial" w:hAnsi="Arial" w:cs="Arial"/>
          <w:sz w:val="20"/>
          <w:szCs w:val="20"/>
        </w:rPr>
        <w:t xml:space="preserve">onds </w:t>
      </w:r>
    </w:p>
    <w:p w:rsidR="0025751F" w:rsidRDefault="00FF3DD3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Issuing</w:t>
      </w:r>
      <w:r w:rsidR="00B96458" w:rsidRPr="00B96458">
        <w:rPr>
          <w:rFonts w:ascii="Arial" w:hAnsi="Arial" w:cs="Arial"/>
          <w:sz w:val="20"/>
          <w:szCs w:val="20"/>
        </w:rPr>
        <w:t xml:space="preserve"> method and time: </w:t>
      </w:r>
      <w:r>
        <w:rPr>
          <w:rFonts w:ascii="Arial" w:hAnsi="Arial" w:cs="Arial"/>
          <w:sz w:val="20"/>
          <w:szCs w:val="20"/>
        </w:rPr>
        <w:t>Private placement</w:t>
      </w:r>
      <w:r w:rsidR="00B96458" w:rsidRPr="00B96458">
        <w:rPr>
          <w:rFonts w:ascii="Arial" w:hAnsi="Arial" w:cs="Arial"/>
          <w:sz w:val="20"/>
          <w:szCs w:val="20"/>
        </w:rPr>
        <w:t xml:space="preserve"> via</w:t>
      </w:r>
      <w:r>
        <w:rPr>
          <w:rFonts w:ascii="Arial" w:hAnsi="Arial" w:cs="Arial"/>
          <w:sz w:val="20"/>
          <w:szCs w:val="20"/>
        </w:rPr>
        <w:t xml:space="preserve"> an issue</w:t>
      </w:r>
      <w:r w:rsidR="00B96458" w:rsidRPr="00B96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agent</w:t>
      </w:r>
      <w:r w:rsidR="00B96458" w:rsidRPr="00B96458">
        <w:rPr>
          <w:rFonts w:ascii="Arial" w:hAnsi="Arial" w:cs="Arial"/>
          <w:sz w:val="20"/>
          <w:szCs w:val="20"/>
        </w:rPr>
        <w:t xml:space="preserve"> for less than 100 investors excluding professional stock investors </w:t>
      </w:r>
      <w:r>
        <w:rPr>
          <w:rFonts w:ascii="Arial" w:hAnsi="Arial" w:cs="Arial"/>
          <w:sz w:val="20"/>
          <w:szCs w:val="20"/>
        </w:rPr>
        <w:t xml:space="preserve">and </w:t>
      </w:r>
      <w:r w:rsidRPr="00FF3DD3">
        <w:rPr>
          <w:rFonts w:ascii="Arial" w:hAnsi="Arial" w:cs="Arial"/>
          <w:sz w:val="20"/>
          <w:szCs w:val="20"/>
        </w:rPr>
        <w:t xml:space="preserve">not using the mass media </w:t>
      </w:r>
      <w:r>
        <w:rPr>
          <w:rFonts w:ascii="Arial" w:hAnsi="Arial" w:cs="Arial"/>
          <w:sz w:val="20"/>
          <w:szCs w:val="20"/>
        </w:rPr>
        <w:t xml:space="preserve">and </w:t>
      </w:r>
      <w:r w:rsidRPr="00FF3DD3">
        <w:rPr>
          <w:rFonts w:ascii="Arial" w:hAnsi="Arial" w:cs="Arial"/>
          <w:sz w:val="20"/>
          <w:szCs w:val="20"/>
        </w:rPr>
        <w:t xml:space="preserve">internet. </w:t>
      </w:r>
      <w:r w:rsidR="0025751F">
        <w:rPr>
          <w:rFonts w:ascii="Arial" w:hAnsi="Arial" w:cs="Arial"/>
          <w:sz w:val="20"/>
          <w:szCs w:val="20"/>
        </w:rPr>
        <w:t>The time of issuing bond is June 10, 2020</w:t>
      </w:r>
    </w:p>
    <w:p w:rsidR="0025751F" w:rsidRDefault="00FF3DD3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3DD3">
        <w:rPr>
          <w:rFonts w:ascii="Arial" w:hAnsi="Arial" w:cs="Arial"/>
          <w:sz w:val="20"/>
          <w:szCs w:val="20"/>
        </w:rPr>
        <w:t>5. P</w:t>
      </w:r>
      <w:r w:rsidR="0025751F">
        <w:rPr>
          <w:rFonts w:ascii="Arial" w:hAnsi="Arial" w:cs="Arial"/>
          <w:sz w:val="20"/>
          <w:szCs w:val="20"/>
        </w:rPr>
        <w:t>ayment method of bond principal and interest: Bond principal and interest</w:t>
      </w:r>
      <w:r w:rsidRPr="00FF3DD3">
        <w:rPr>
          <w:rFonts w:ascii="Arial" w:hAnsi="Arial" w:cs="Arial"/>
          <w:sz w:val="20"/>
          <w:szCs w:val="20"/>
        </w:rPr>
        <w:t xml:space="preserve"> are transferred via bank accounts </w:t>
      </w:r>
    </w:p>
    <w:p w:rsidR="0025751F" w:rsidRDefault="00FF3DD3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F3DD3">
        <w:rPr>
          <w:rFonts w:ascii="Arial" w:hAnsi="Arial" w:cs="Arial"/>
          <w:sz w:val="20"/>
          <w:szCs w:val="20"/>
        </w:rPr>
        <w:t xml:space="preserve">6. </w:t>
      </w:r>
      <w:r w:rsidR="0025751F">
        <w:rPr>
          <w:rFonts w:ascii="Arial" w:hAnsi="Arial" w:cs="Arial"/>
          <w:sz w:val="20"/>
          <w:szCs w:val="20"/>
        </w:rPr>
        <w:t>Ownership of the bondholder</w:t>
      </w:r>
      <w:r w:rsidRPr="00FF3DD3">
        <w:rPr>
          <w:rFonts w:ascii="Arial" w:hAnsi="Arial" w:cs="Arial"/>
          <w:sz w:val="20"/>
          <w:szCs w:val="20"/>
        </w:rPr>
        <w:t xml:space="preserve">: </w:t>
      </w:r>
    </w:p>
    <w:p w:rsidR="00B96458" w:rsidRDefault="0025751F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b</w:t>
      </w:r>
      <w:r w:rsidR="00FF3DD3" w:rsidRPr="00FF3DD3">
        <w:rPr>
          <w:rFonts w:ascii="Arial" w:hAnsi="Arial" w:cs="Arial"/>
          <w:sz w:val="20"/>
          <w:szCs w:val="20"/>
        </w:rPr>
        <w:t>ond</w:t>
      </w:r>
      <w:r>
        <w:rPr>
          <w:rFonts w:ascii="Arial" w:hAnsi="Arial" w:cs="Arial"/>
          <w:sz w:val="20"/>
          <w:szCs w:val="20"/>
        </w:rPr>
        <w:t>holder</w:t>
      </w:r>
      <w:r w:rsidR="00FF3DD3" w:rsidRPr="00FF3DD3">
        <w:rPr>
          <w:rFonts w:ascii="Arial" w:hAnsi="Arial" w:cs="Arial"/>
          <w:sz w:val="20"/>
          <w:szCs w:val="20"/>
        </w:rPr>
        <w:t xml:space="preserve"> will be the owner of </w:t>
      </w:r>
      <w:r>
        <w:rPr>
          <w:rFonts w:ascii="Arial" w:hAnsi="Arial" w:cs="Arial"/>
          <w:sz w:val="20"/>
          <w:szCs w:val="20"/>
        </w:rPr>
        <w:t>that bond</w:t>
      </w:r>
      <w:r w:rsidR="00FF3DD3" w:rsidRPr="00FF3DD3">
        <w:rPr>
          <w:rFonts w:ascii="Arial" w:hAnsi="Arial" w:cs="Arial"/>
          <w:sz w:val="20"/>
          <w:szCs w:val="20"/>
        </w:rPr>
        <w:t xml:space="preserve"> and will have the right to receive all</w:t>
      </w:r>
      <w:r>
        <w:rPr>
          <w:rFonts w:ascii="Arial" w:hAnsi="Arial" w:cs="Arial"/>
          <w:sz w:val="20"/>
          <w:szCs w:val="20"/>
        </w:rPr>
        <w:t xml:space="preserve"> principal and interest payment</w:t>
      </w:r>
      <w:r w:rsidR="00FF3DD3" w:rsidRPr="00FF3DD3">
        <w:rPr>
          <w:rFonts w:ascii="Arial" w:hAnsi="Arial" w:cs="Arial"/>
          <w:sz w:val="20"/>
          <w:szCs w:val="20"/>
        </w:rPr>
        <w:t xml:space="preserve"> in accordance with the bond issuance file, receive notices, reports and enjo</w:t>
      </w:r>
      <w:r>
        <w:rPr>
          <w:rFonts w:ascii="Arial" w:hAnsi="Arial" w:cs="Arial"/>
          <w:sz w:val="20"/>
          <w:szCs w:val="20"/>
        </w:rPr>
        <w:t xml:space="preserve">y other rights related to that bond. </w:t>
      </w:r>
      <w:r w:rsidR="00FF3DD3" w:rsidRPr="00FF3DD3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 xml:space="preserve">certificates </w:t>
      </w:r>
      <w:r w:rsidR="00FF3DD3" w:rsidRPr="00FF3DD3">
        <w:rPr>
          <w:rFonts w:ascii="Arial" w:hAnsi="Arial" w:cs="Arial"/>
          <w:sz w:val="20"/>
          <w:szCs w:val="20"/>
        </w:rPr>
        <w:t xml:space="preserve">or other documents issued by the </w:t>
      </w:r>
      <w:r>
        <w:rPr>
          <w:rFonts w:ascii="Arial" w:hAnsi="Arial" w:cs="Arial"/>
          <w:sz w:val="20"/>
          <w:szCs w:val="20"/>
        </w:rPr>
        <w:t>issuer</w:t>
      </w:r>
      <w:r w:rsidR="00FF3DD3" w:rsidRPr="00FF3DD3">
        <w:rPr>
          <w:rFonts w:ascii="Arial" w:hAnsi="Arial" w:cs="Arial"/>
          <w:sz w:val="20"/>
          <w:szCs w:val="20"/>
        </w:rPr>
        <w:t xml:space="preserve"> in respect of the principal amount of </w:t>
      </w:r>
      <w:r>
        <w:rPr>
          <w:rFonts w:ascii="Arial" w:hAnsi="Arial" w:cs="Arial"/>
          <w:sz w:val="20"/>
          <w:szCs w:val="20"/>
        </w:rPr>
        <w:lastRenderedPageBreak/>
        <w:t>the bond reflecting the balance of the b</w:t>
      </w:r>
      <w:r w:rsidR="00FF3DD3" w:rsidRPr="00FF3DD3">
        <w:rPr>
          <w:rFonts w:ascii="Arial" w:hAnsi="Arial" w:cs="Arial"/>
          <w:sz w:val="20"/>
          <w:szCs w:val="20"/>
        </w:rPr>
        <w:t xml:space="preserve">ondholder as in the </w:t>
      </w:r>
      <w:r>
        <w:rPr>
          <w:rFonts w:ascii="Arial" w:hAnsi="Arial" w:cs="Arial"/>
          <w:sz w:val="20"/>
          <w:szCs w:val="20"/>
        </w:rPr>
        <w:t>registration book except for an</w:t>
      </w:r>
      <w:r w:rsidR="00FF3DD3" w:rsidRPr="00FF3DD3">
        <w:rPr>
          <w:rFonts w:ascii="Arial" w:hAnsi="Arial" w:cs="Arial"/>
          <w:sz w:val="20"/>
          <w:szCs w:val="20"/>
        </w:rPr>
        <w:t xml:space="preserve"> obvious error, shall be deemed to be of sole legal value </w:t>
      </w:r>
      <w:r>
        <w:rPr>
          <w:rFonts w:ascii="Arial" w:hAnsi="Arial" w:cs="Arial"/>
          <w:sz w:val="20"/>
          <w:szCs w:val="20"/>
        </w:rPr>
        <w:t>despite used for any purpose</w:t>
      </w:r>
    </w:p>
    <w:p w:rsidR="00542527" w:rsidRDefault="0025751F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bondh</w:t>
      </w:r>
      <w:r w:rsidRPr="0025751F">
        <w:rPr>
          <w:rFonts w:ascii="Arial" w:hAnsi="Arial" w:cs="Arial"/>
          <w:sz w:val="20"/>
          <w:szCs w:val="20"/>
        </w:rPr>
        <w:t>olders are free to sell, transfer, donate, contribute capital, exchange, lea</w:t>
      </w:r>
      <w:r>
        <w:rPr>
          <w:rFonts w:ascii="Arial" w:hAnsi="Arial" w:cs="Arial"/>
          <w:sz w:val="20"/>
          <w:szCs w:val="20"/>
        </w:rPr>
        <w:t>ve inheritance or transfer the b</w:t>
      </w:r>
      <w:r w:rsidRPr="0025751F">
        <w:rPr>
          <w:rFonts w:ascii="Arial" w:hAnsi="Arial" w:cs="Arial"/>
          <w:sz w:val="20"/>
          <w:szCs w:val="20"/>
        </w:rPr>
        <w:t xml:space="preserve">ond ownership in another form (hereinafter referred </w:t>
      </w:r>
      <w:r>
        <w:rPr>
          <w:rFonts w:ascii="Arial" w:hAnsi="Arial" w:cs="Arial"/>
          <w:sz w:val="20"/>
          <w:szCs w:val="20"/>
        </w:rPr>
        <w:t>to as "transfer</w:t>
      </w:r>
      <w:r w:rsidRPr="0025751F">
        <w:rPr>
          <w:rFonts w:ascii="Arial" w:hAnsi="Arial" w:cs="Arial"/>
          <w:sz w:val="20"/>
          <w:szCs w:val="20"/>
        </w:rPr>
        <w:t xml:space="preserve">"), if the transfer does not result in a breach of the transaction restriction, or </w:t>
      </w:r>
      <w:r w:rsidR="00542527">
        <w:rPr>
          <w:rFonts w:ascii="Arial" w:hAnsi="Arial" w:cs="Arial"/>
          <w:sz w:val="20"/>
          <w:szCs w:val="20"/>
        </w:rPr>
        <w:t>use of bond</w:t>
      </w:r>
      <w:r w:rsidRPr="0025751F">
        <w:rPr>
          <w:rFonts w:ascii="Arial" w:hAnsi="Arial" w:cs="Arial"/>
          <w:sz w:val="20"/>
          <w:szCs w:val="20"/>
        </w:rPr>
        <w:t xml:space="preserve"> a</w:t>
      </w:r>
      <w:r w:rsidR="00542527">
        <w:rPr>
          <w:rFonts w:ascii="Arial" w:hAnsi="Arial" w:cs="Arial"/>
          <w:sz w:val="20"/>
          <w:szCs w:val="20"/>
        </w:rPr>
        <w:t>s collateral or for other legal commercial relationship in accordance with bond condition regulation and related legal documents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Repurchase of bond</w:t>
      </w:r>
      <w:r w:rsidR="0025751F" w:rsidRPr="0025751F">
        <w:rPr>
          <w:rFonts w:ascii="Arial" w:hAnsi="Arial" w:cs="Arial"/>
          <w:sz w:val="20"/>
          <w:szCs w:val="20"/>
        </w:rPr>
        <w:t xml:space="preserve"> before maturity 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bond</w:t>
      </w:r>
      <w:r w:rsidR="0025751F" w:rsidRPr="0025751F">
        <w:rPr>
          <w:rFonts w:ascii="Arial" w:hAnsi="Arial" w:cs="Arial"/>
          <w:sz w:val="20"/>
          <w:szCs w:val="20"/>
        </w:rPr>
        <w:t xml:space="preserve"> may be redeemed before maturity </w:t>
      </w:r>
      <w:r>
        <w:rPr>
          <w:rFonts w:ascii="Arial" w:hAnsi="Arial" w:cs="Arial"/>
          <w:sz w:val="20"/>
          <w:szCs w:val="20"/>
        </w:rPr>
        <w:t>for a part or all</w:t>
      </w:r>
      <w:r w:rsidR="0025751F" w:rsidRPr="0025751F">
        <w:rPr>
          <w:rFonts w:ascii="Arial" w:hAnsi="Arial" w:cs="Arial"/>
          <w:sz w:val="20"/>
          <w:szCs w:val="20"/>
        </w:rPr>
        <w:t xml:space="preserve"> at any time from the date of completion of the issuance at the request of the </w:t>
      </w:r>
      <w:r>
        <w:rPr>
          <w:rFonts w:ascii="Arial" w:hAnsi="Arial" w:cs="Arial"/>
          <w:sz w:val="20"/>
          <w:szCs w:val="20"/>
        </w:rPr>
        <w:t xml:space="preserve">issuer or bondholder </w:t>
      </w:r>
      <w:r w:rsidR="0025751F" w:rsidRPr="0025751F">
        <w:rPr>
          <w:rFonts w:ascii="Arial" w:hAnsi="Arial" w:cs="Arial"/>
          <w:sz w:val="20"/>
          <w:szCs w:val="20"/>
        </w:rPr>
        <w:t>based on compliance with t</w:t>
      </w:r>
      <w:r>
        <w:rPr>
          <w:rFonts w:ascii="Arial" w:hAnsi="Arial" w:cs="Arial"/>
          <w:sz w:val="20"/>
          <w:szCs w:val="20"/>
        </w:rPr>
        <w:t>he terms and conditions of the b</w:t>
      </w:r>
      <w:r w:rsidR="0025751F" w:rsidRPr="0025751F">
        <w:rPr>
          <w:rFonts w:ascii="Arial" w:hAnsi="Arial" w:cs="Arial"/>
          <w:sz w:val="20"/>
          <w:szCs w:val="20"/>
        </w:rPr>
        <w:t xml:space="preserve">ond and the agreement of the </w:t>
      </w:r>
      <w:r>
        <w:rPr>
          <w:rFonts w:ascii="Arial" w:hAnsi="Arial" w:cs="Arial"/>
          <w:sz w:val="20"/>
          <w:szCs w:val="20"/>
        </w:rPr>
        <w:t>issuer</w:t>
      </w:r>
      <w:r w:rsidR="0025751F" w:rsidRPr="0025751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bondholder</w:t>
      </w:r>
    </w:p>
    <w:p w:rsidR="0025751F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Compulsory r</w:t>
      </w:r>
      <w:r w:rsidR="0025751F" w:rsidRPr="0025751F">
        <w:rPr>
          <w:rFonts w:ascii="Arial" w:hAnsi="Arial" w:cs="Arial"/>
          <w:sz w:val="20"/>
          <w:szCs w:val="20"/>
        </w:rPr>
        <w:t xml:space="preserve">edemption: The </w:t>
      </w:r>
      <w:r>
        <w:rPr>
          <w:rFonts w:ascii="Arial" w:hAnsi="Arial" w:cs="Arial"/>
          <w:sz w:val="20"/>
          <w:szCs w:val="20"/>
        </w:rPr>
        <w:t>issuer must repurchase the bond</w:t>
      </w:r>
      <w:r w:rsidR="0025751F" w:rsidRPr="0025751F">
        <w:rPr>
          <w:rFonts w:ascii="Arial" w:hAnsi="Arial" w:cs="Arial"/>
          <w:sz w:val="20"/>
          <w:szCs w:val="20"/>
        </w:rPr>
        <w:t xml:space="preserve"> at the request</w:t>
      </w:r>
      <w:r>
        <w:rPr>
          <w:rFonts w:ascii="Arial" w:hAnsi="Arial" w:cs="Arial"/>
          <w:sz w:val="20"/>
          <w:szCs w:val="20"/>
        </w:rPr>
        <w:t xml:space="preserve"> of the bondholder when any v</w:t>
      </w:r>
      <w:r w:rsidR="0025751F" w:rsidRPr="0025751F">
        <w:rPr>
          <w:rFonts w:ascii="Arial" w:hAnsi="Arial" w:cs="Arial"/>
          <w:sz w:val="20"/>
          <w:szCs w:val="20"/>
        </w:rPr>
        <w:t>iolation</w:t>
      </w:r>
      <w:r>
        <w:rPr>
          <w:rFonts w:ascii="Arial" w:hAnsi="Arial" w:cs="Arial"/>
          <w:sz w:val="20"/>
          <w:szCs w:val="20"/>
        </w:rPr>
        <w:t>s</w:t>
      </w:r>
      <w:r w:rsidR="0025751F" w:rsidRPr="002575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occur as specified in the d</w:t>
      </w:r>
      <w:r w:rsidR="0025751F" w:rsidRPr="0025751F">
        <w:rPr>
          <w:rFonts w:ascii="Arial" w:hAnsi="Arial" w:cs="Arial"/>
          <w:sz w:val="20"/>
          <w:szCs w:val="20"/>
        </w:rPr>
        <w:t>etailed Release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List of bond holders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230"/>
        <w:gridCol w:w="2394"/>
        <w:gridCol w:w="2394"/>
      </w:tblGrid>
      <w:tr w:rsidR="00542527" w:rsidTr="00542527">
        <w:tc>
          <w:tcPr>
            <w:tcW w:w="558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30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Bond investors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 (VND billion)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 (%)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230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Domestic investor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investor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investor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4230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Foreign investor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542527" w:rsidRDefault="00542527" w:rsidP="00FF3DD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30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Organizational investor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30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investor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42527" w:rsidTr="00542527">
        <w:tc>
          <w:tcPr>
            <w:tcW w:w="558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394" w:type="dxa"/>
          </w:tcPr>
          <w:p w:rsidR="00542527" w:rsidRDefault="00542527" w:rsidP="0054252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Parties related to the private placement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Issuer: </w:t>
      </w:r>
      <w:r w:rsidRPr="00542527">
        <w:rPr>
          <w:rFonts w:ascii="Arial" w:hAnsi="Arial" w:cs="Arial"/>
          <w:sz w:val="20"/>
          <w:szCs w:val="20"/>
        </w:rPr>
        <w:t>CIENCO4 Group Joint Stock Company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Pr="00542527">
        <w:rPr>
          <w:rFonts w:ascii="Arial" w:hAnsi="Arial" w:cs="Arial"/>
          <w:sz w:val="20"/>
          <w:szCs w:val="20"/>
        </w:rPr>
        <w:t xml:space="preserve">Floor 10-11, Icon4 Building, 243A De La </w:t>
      </w:r>
      <w:proofErr w:type="spellStart"/>
      <w:r w:rsidRPr="00542527">
        <w:rPr>
          <w:rFonts w:ascii="Arial" w:hAnsi="Arial" w:cs="Arial"/>
          <w:sz w:val="20"/>
          <w:szCs w:val="20"/>
        </w:rPr>
        <w:t>Thanh</w:t>
      </w:r>
      <w:proofErr w:type="spellEnd"/>
      <w:r w:rsidRPr="00542527">
        <w:rPr>
          <w:rFonts w:ascii="Arial" w:hAnsi="Arial" w:cs="Arial"/>
          <w:sz w:val="20"/>
          <w:szCs w:val="20"/>
        </w:rPr>
        <w:t xml:space="preserve"> Street, Lang </w:t>
      </w:r>
      <w:proofErr w:type="spellStart"/>
      <w:r w:rsidRPr="00542527">
        <w:rPr>
          <w:rFonts w:ascii="Arial" w:hAnsi="Arial" w:cs="Arial"/>
          <w:sz w:val="20"/>
          <w:szCs w:val="20"/>
        </w:rPr>
        <w:t>Thuong</w:t>
      </w:r>
      <w:proofErr w:type="spellEnd"/>
      <w:r w:rsidRPr="00542527">
        <w:rPr>
          <w:rFonts w:ascii="Arial" w:hAnsi="Arial" w:cs="Arial"/>
          <w:sz w:val="20"/>
          <w:szCs w:val="20"/>
        </w:rPr>
        <w:t xml:space="preserve"> Ward, Dong Da District, Hanoi</w:t>
      </w:r>
    </w:p>
    <w:p w:rsidR="00542527" w:rsidRDefault="00542527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3642 0371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024 3681 1275</w:t>
      </w:r>
    </w:p>
    <w:p w:rsidR="00542527" w:rsidRDefault="006C631E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Consultant and issuance underwriter: VNDIRECT Securities Joint Stock Company </w:t>
      </w:r>
    </w:p>
    <w:p w:rsidR="006C631E" w:rsidRDefault="006C631E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No.01 Nguyen </w:t>
      </w:r>
      <w:proofErr w:type="spellStart"/>
      <w:r>
        <w:rPr>
          <w:rFonts w:ascii="Arial" w:hAnsi="Arial" w:cs="Arial"/>
          <w:sz w:val="20"/>
          <w:szCs w:val="20"/>
        </w:rPr>
        <w:t>Thuong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Hien</w:t>
      </w:r>
      <w:proofErr w:type="spellEnd"/>
      <w:r>
        <w:rPr>
          <w:rFonts w:ascii="Arial" w:hAnsi="Arial" w:cs="Arial"/>
          <w:sz w:val="20"/>
          <w:szCs w:val="20"/>
        </w:rPr>
        <w:t xml:space="preserve">, Nguyen Du Ward,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6C631E" w:rsidRDefault="006C631E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3972 4568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024 3972 4600</w:t>
      </w:r>
    </w:p>
    <w:p w:rsidR="006C631E" w:rsidRP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Agent for depository registration and payment: </w:t>
      </w:r>
      <w:r w:rsidRPr="006C631E">
        <w:rPr>
          <w:rFonts w:ascii="Arial" w:hAnsi="Arial" w:cs="Arial"/>
          <w:sz w:val="20"/>
          <w:szCs w:val="20"/>
        </w:rPr>
        <w:t xml:space="preserve">VNDIRECT Securities Joint Stock Company </w:t>
      </w:r>
    </w:p>
    <w:p w:rsidR="006C631E" w:rsidRP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31E">
        <w:rPr>
          <w:rFonts w:ascii="Arial" w:hAnsi="Arial" w:cs="Arial"/>
          <w:sz w:val="20"/>
          <w:szCs w:val="20"/>
        </w:rPr>
        <w:t xml:space="preserve">Address: No.01 Nguyen </w:t>
      </w:r>
      <w:proofErr w:type="spellStart"/>
      <w:r w:rsidRPr="006C631E">
        <w:rPr>
          <w:rFonts w:ascii="Arial" w:hAnsi="Arial" w:cs="Arial"/>
          <w:sz w:val="20"/>
          <w:szCs w:val="20"/>
        </w:rPr>
        <w:t>Thuong</w:t>
      </w:r>
      <w:proofErr w:type="spellEnd"/>
      <w:r w:rsidRPr="006C631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C631E">
        <w:rPr>
          <w:rFonts w:ascii="Arial" w:hAnsi="Arial" w:cs="Arial"/>
          <w:sz w:val="20"/>
          <w:szCs w:val="20"/>
        </w:rPr>
        <w:t>Hien</w:t>
      </w:r>
      <w:proofErr w:type="spellEnd"/>
      <w:r w:rsidRPr="006C631E">
        <w:rPr>
          <w:rFonts w:ascii="Arial" w:hAnsi="Arial" w:cs="Arial"/>
          <w:sz w:val="20"/>
          <w:szCs w:val="20"/>
        </w:rPr>
        <w:t xml:space="preserve">, Nguyen Du Ward, Hai Ba </w:t>
      </w:r>
      <w:proofErr w:type="spellStart"/>
      <w:r w:rsidRPr="006C631E">
        <w:rPr>
          <w:rFonts w:ascii="Arial" w:hAnsi="Arial" w:cs="Arial"/>
          <w:sz w:val="20"/>
          <w:szCs w:val="20"/>
        </w:rPr>
        <w:t>Trung</w:t>
      </w:r>
      <w:proofErr w:type="spellEnd"/>
      <w:r w:rsidRPr="006C631E"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 w:rsidRPr="006C631E">
        <w:rPr>
          <w:rFonts w:ascii="Arial" w:hAnsi="Arial" w:cs="Arial"/>
          <w:sz w:val="20"/>
          <w:szCs w:val="20"/>
        </w:rPr>
        <w:t>Noi</w:t>
      </w:r>
      <w:proofErr w:type="spellEnd"/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631E">
        <w:rPr>
          <w:rFonts w:ascii="Arial" w:hAnsi="Arial" w:cs="Arial"/>
          <w:sz w:val="20"/>
          <w:szCs w:val="20"/>
        </w:rPr>
        <w:t>Tel: 024 3972 4568</w:t>
      </w:r>
      <w:r w:rsidRPr="006C631E">
        <w:rPr>
          <w:rFonts w:ascii="Arial" w:hAnsi="Arial" w:cs="Arial"/>
          <w:sz w:val="20"/>
          <w:szCs w:val="20"/>
        </w:rPr>
        <w:tab/>
      </w:r>
      <w:r w:rsidRPr="006C631E">
        <w:rPr>
          <w:rFonts w:ascii="Arial" w:hAnsi="Arial" w:cs="Arial"/>
          <w:sz w:val="20"/>
          <w:szCs w:val="20"/>
        </w:rPr>
        <w:tab/>
        <w:t>Fax: 024 3972 4600</w:t>
      </w:r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Collateral Management Organization: </w:t>
      </w:r>
      <w:r>
        <w:rPr>
          <w:rFonts w:ascii="Arial" w:hAnsi="Arial" w:cs="Arial"/>
          <w:sz w:val="20"/>
          <w:szCs w:val="20"/>
        </w:rPr>
        <w:t xml:space="preserve">VNDIRECT Securities Joint Stock Company </w:t>
      </w:r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No.01 Nguyen </w:t>
      </w:r>
      <w:proofErr w:type="spellStart"/>
      <w:r>
        <w:rPr>
          <w:rFonts w:ascii="Arial" w:hAnsi="Arial" w:cs="Arial"/>
          <w:sz w:val="20"/>
          <w:szCs w:val="20"/>
        </w:rPr>
        <w:t>Thuong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Hien</w:t>
      </w:r>
      <w:proofErr w:type="spellEnd"/>
      <w:r>
        <w:rPr>
          <w:rFonts w:ascii="Arial" w:hAnsi="Arial" w:cs="Arial"/>
          <w:sz w:val="20"/>
          <w:szCs w:val="20"/>
        </w:rPr>
        <w:t xml:space="preserve">, Nguyen Du Ward,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3972 4568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024 3972 4600</w:t>
      </w:r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Representative of bondholders: </w:t>
      </w:r>
      <w:r>
        <w:rPr>
          <w:rFonts w:ascii="Arial" w:hAnsi="Arial" w:cs="Arial"/>
          <w:sz w:val="20"/>
          <w:szCs w:val="20"/>
        </w:rPr>
        <w:t xml:space="preserve">VNDIRECT Securities Joint Stock Company </w:t>
      </w:r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No.01 Nguyen </w:t>
      </w:r>
      <w:proofErr w:type="spellStart"/>
      <w:r>
        <w:rPr>
          <w:rFonts w:ascii="Arial" w:hAnsi="Arial" w:cs="Arial"/>
          <w:sz w:val="20"/>
          <w:szCs w:val="20"/>
        </w:rPr>
        <w:t>Thuong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Hien</w:t>
      </w:r>
      <w:proofErr w:type="spellEnd"/>
      <w:r>
        <w:rPr>
          <w:rFonts w:ascii="Arial" w:hAnsi="Arial" w:cs="Arial"/>
          <w:sz w:val="20"/>
          <w:szCs w:val="20"/>
        </w:rPr>
        <w:t xml:space="preserve">, Nguyen Du Ward, Hai Ba </w:t>
      </w:r>
      <w:proofErr w:type="spellStart"/>
      <w:r>
        <w:rPr>
          <w:rFonts w:ascii="Arial" w:hAnsi="Arial" w:cs="Arial"/>
          <w:sz w:val="20"/>
          <w:szCs w:val="20"/>
        </w:rPr>
        <w:t>Trung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024 3972 4568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024 3972 4600</w:t>
      </w:r>
    </w:p>
    <w:p w:rsidR="006C631E" w:rsidRDefault="006C631E" w:rsidP="006C631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C631E" w:rsidRPr="00FF3DD3" w:rsidRDefault="006C631E" w:rsidP="00FF3D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C631E" w:rsidRPr="00FF3DD3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4EA"/>
    <w:rsid w:val="00041D21"/>
    <w:rsid w:val="00050E3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27212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2C8F"/>
    <w:rsid w:val="002357C4"/>
    <w:rsid w:val="0025148F"/>
    <w:rsid w:val="00251CD9"/>
    <w:rsid w:val="00252CE0"/>
    <w:rsid w:val="00254EA2"/>
    <w:rsid w:val="0025751F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67595"/>
    <w:rsid w:val="0037607E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527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86EA0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C631E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06F0A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248BA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6458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3834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D75AE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77747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38BE"/>
    <w:rsid w:val="00FF3DD3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6D84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338</cp:revision>
  <dcterms:created xsi:type="dcterms:W3CDTF">2019-10-16T10:03:00Z</dcterms:created>
  <dcterms:modified xsi:type="dcterms:W3CDTF">2020-06-21T12:42:00Z</dcterms:modified>
</cp:coreProperties>
</file>